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высшего </w:t>
      </w:r>
      <w:r w:rsidR="00C95319">
        <w:rPr>
          <w:rFonts w:ascii="Times New Roman" w:hAnsi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7676CF">
      <w:pPr>
        <w:pStyle w:val="Standard"/>
        <w:spacing w:after="0" w:line="30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4AE7" w:rsidRDefault="009B4AE7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4AE7" w:rsidRDefault="009B4AE7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D14B0C" w:rsidRDefault="009330FF" w:rsidP="009330FF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413C9" w:rsidRPr="002B6C0B" w:rsidRDefault="00C413C9" w:rsidP="009C4C40">
      <w:pPr>
        <w:spacing w:after="12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подготовке и защите курсовых </w:t>
      </w:r>
      <w:r w:rsidR="005967A2" w:rsidRPr="002B6C0B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работ </w:t>
      </w:r>
      <w:r w:rsidR="009B4AE7">
        <w:rPr>
          <w:rFonts w:ascii="Times New Roman" w:hAnsi="Times New Roman"/>
          <w:color w:val="000000" w:themeColor="text1"/>
          <w:sz w:val="28"/>
          <w:szCs w:val="24"/>
        </w:rPr>
        <w:t xml:space="preserve">/ 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«Юриспруденция»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D00A4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  <w:r w:rsidR="00A15AA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Приказом Минобрнауки РФ от 14.12.2010 №1763 (ред. от 31.05.2011) «Об утверждении и введении в действие федерального государственн</w:t>
      </w:r>
      <w:r w:rsidR="0031430D">
        <w:rPr>
          <w:rFonts w:ascii="Times New Roman" w:hAnsi="Times New Roman"/>
          <w:color w:val="000000" w:themeColor="text1"/>
          <w:sz w:val="28"/>
          <w:szCs w:val="24"/>
        </w:rPr>
        <w:t xml:space="preserve">ого образовательного стандарта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и Н.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Г. Столетовых; сост.: В.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>П. Шеин, М.</w:t>
      </w:r>
      <w:r w:rsidR="00E90F0C" w:rsidRPr="002B6C0B">
        <w:rPr>
          <w:rFonts w:ascii="Times New Roman" w:hAnsi="Times New Roman"/>
          <w:sz w:val="28"/>
          <w:szCs w:val="24"/>
        </w:rPr>
        <w:t xml:space="preserve"> </w:t>
      </w:r>
      <w:r w:rsidR="00014E10" w:rsidRPr="002B6C0B">
        <w:rPr>
          <w:rFonts w:ascii="Times New Roman" w:hAnsi="Times New Roman"/>
          <w:sz w:val="28"/>
          <w:szCs w:val="24"/>
        </w:rPr>
        <w:t xml:space="preserve">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31430D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="00C95319">
              <w:rPr>
                <w:rFonts w:ascii="Times New Roman" w:hAnsi="Times New Roman"/>
                <w:sz w:val="28"/>
                <w:szCs w:val="28"/>
              </w:rPr>
              <w:t xml:space="preserve">профессионального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="00AB66ED" w:rsidRPr="002B6C0B">
        <w:rPr>
          <w:sz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тижений науки по выбранной теме, анализ правоприменительной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  <w:r w:rsidR="00876E7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</w:t>
      </w:r>
      <w:r w:rsidR="00CF198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="00532F5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F50ED5" w:rsidRPr="002B6C0B" w:rsidRDefault="00F50ED5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32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110603" w:rsidRPr="00D14B0C" w:rsidRDefault="00110603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A103C" w:rsidRPr="00D14B0C" w:rsidRDefault="005A103C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  <w:r w:rsidR="006C7EE3" w:rsidRPr="00123B58">
        <w:rPr>
          <w:rFonts w:ascii="Times New Roman" w:hAnsi="Times New Roman"/>
          <w:sz w:val="28"/>
          <w:szCs w:val="24"/>
        </w:rPr>
        <w:t xml:space="preserve"> 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23B5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="00F209C3"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547753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547753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775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5477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5477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5477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547753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547753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4775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54775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54775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54775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54775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547753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54775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</w:t>
      </w:r>
      <w:r w:rsidRPr="007D04EF">
        <w:rPr>
          <w:sz w:val="28"/>
          <w:szCs w:val="28"/>
        </w:rPr>
        <w:t xml:space="preserve"> </w:t>
      </w:r>
      <w:r w:rsidRPr="007D04EF">
        <w:rPr>
          <w:rFonts w:ascii="Times New Roman" w:hAnsi="Times New Roman"/>
          <w:sz w:val="28"/>
          <w:szCs w:val="28"/>
        </w:rPr>
        <w:t>шрифт Times New</w:t>
      </w:r>
      <w:r w:rsidR="005A3078" w:rsidRPr="007D04EF">
        <w:rPr>
          <w:rFonts w:ascii="Times New Roman" w:hAnsi="Times New Roman"/>
          <w:sz w:val="28"/>
          <w:szCs w:val="28"/>
        </w:rPr>
        <w:t xml:space="preserve"> 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EC696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Г. Детковым, по Н.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Д. Сергеевскому, по мнению А.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П. Печникова, Д.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А. Дриль подчеркивал, Л.</w:t>
      </w:r>
      <w:r w:rsidR="00677231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6B756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  <w:r w:rsidR="00EB59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Рекомендуется делать в курсовой работе подстрочные постраничные ссылки.</w:t>
      </w:r>
      <w:r w:rsidRPr="007D04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</w:t>
      </w: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 xml:space="preserve">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7D04EF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31430D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31430D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  <w:t xml:space="preserve">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 xml:space="preserve"> </w:t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4705DD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>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="004F5E06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540872" w:rsidRPr="00D14B0C">
        <w:rPr>
          <w:rFonts w:ascii="Times New Roman" w:hAnsi="Times New Roman"/>
          <w:color w:val="000000" w:themeColor="text1"/>
          <w:sz w:val="28"/>
        </w:rPr>
        <w:t xml:space="preserve">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государственное бюджетное образовательное учреждение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</w:t>
      </w:r>
      <w:r w:rsidR="00311B7D"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9B7D76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</w:t>
      </w:r>
      <w:r w:rsidR="00EF1FE2"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  <w:bookmarkStart w:id="1" w:name="_GoBack"/>
      <w:bookmarkEnd w:id="1"/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="00465C5F"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:rsidR="005D0291" w:rsidRPr="00D14B0C" w:rsidRDefault="00AA45F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 </w:t>
      </w:r>
      <w:r w:rsidR="004705DD"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 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 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 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й Орды на Руси в XIII - XIV вв.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Вишняков И.В. Модели и методы оценки коммерческих банков в условиях неопределенности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 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некоторых вопросах Федеральной налоговой полиции: Указ Президента РФ от 25.02.2000 № 433 // Собрание законодательства РФ. - 2000. - № 9. -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Ст.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224. - Режим доступа: Консультант плюс. - Загл. с экрана.</w:t>
      </w:r>
      <w:r w:rsidR="00BC33F1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color w:val="000000" w:themeColor="text1"/>
          <w:sz w:val="24"/>
          <w:szCs w:val="24"/>
          <w:lang w:eastAsia="ru-RU"/>
        </w:rPr>
        <w:t xml:space="preserve"> 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 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993A52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="00C2358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="00C23587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46" w:rsidRDefault="00577846" w:rsidP="00600290">
      <w:pPr>
        <w:spacing w:after="0" w:line="240" w:lineRule="auto"/>
      </w:pPr>
      <w:r>
        <w:separator/>
      </w:r>
    </w:p>
  </w:endnote>
  <w:endnote w:type="continuationSeparator" w:id="1">
    <w:p w:rsidR="00577846" w:rsidRDefault="00577846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547753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9B4AE7">
      <w:rPr>
        <w:rFonts w:ascii="Times New Roman" w:hAnsi="Times New Roman"/>
        <w:noProof/>
        <w:sz w:val="24"/>
        <w:szCs w:val="24"/>
      </w:rPr>
      <w:t>37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46" w:rsidRDefault="00577846" w:rsidP="00600290">
      <w:pPr>
        <w:spacing w:after="0" w:line="240" w:lineRule="auto"/>
      </w:pPr>
      <w:r>
        <w:separator/>
      </w:r>
    </w:p>
  </w:footnote>
  <w:footnote w:type="continuationSeparator" w:id="1">
    <w:p w:rsidR="00577846" w:rsidRDefault="00577846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 w:rsidRPr="00B771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C3C"/>
    <w:rsid w:val="000834D7"/>
    <w:rsid w:val="00084B31"/>
    <w:rsid w:val="00092F29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430D"/>
    <w:rsid w:val="00316F99"/>
    <w:rsid w:val="00322C5A"/>
    <w:rsid w:val="003302A6"/>
    <w:rsid w:val="00333E51"/>
    <w:rsid w:val="00337358"/>
    <w:rsid w:val="00340527"/>
    <w:rsid w:val="003458EF"/>
    <w:rsid w:val="003471BA"/>
    <w:rsid w:val="00351ECC"/>
    <w:rsid w:val="0035784F"/>
    <w:rsid w:val="00361461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97230"/>
    <w:rsid w:val="003A3009"/>
    <w:rsid w:val="003A5052"/>
    <w:rsid w:val="003B1B5B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2F45"/>
    <w:rsid w:val="00406144"/>
    <w:rsid w:val="004132C7"/>
    <w:rsid w:val="004239EE"/>
    <w:rsid w:val="0043002C"/>
    <w:rsid w:val="00444288"/>
    <w:rsid w:val="00446BE6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D1E8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47753"/>
    <w:rsid w:val="00563292"/>
    <w:rsid w:val="00563CB0"/>
    <w:rsid w:val="005708C3"/>
    <w:rsid w:val="00577846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57B09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4AE7"/>
    <w:rsid w:val="009B5A54"/>
    <w:rsid w:val="009B7D76"/>
    <w:rsid w:val="009C0DDB"/>
    <w:rsid w:val="009C2ED1"/>
    <w:rsid w:val="009C4C40"/>
    <w:rsid w:val="009C4EF7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5319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4" type="connector" idref="#AutoShape 36"/>
        <o:r id="V:Rule25" type="connector" idref="#AutoShape 32"/>
        <o:r id="V:Rule26" type="connector" idref="#AutoShape 5"/>
        <o:r id="V:Rule27" type="connector" idref="#AutoShape 14"/>
        <o:r id="V:Rule28" type="connector" idref="#AutoShape 30"/>
        <o:r id="V:Rule29" type="connector" idref="#AutoShape 13"/>
        <o:r id="V:Rule30" type="connector" idref="#AutoShape 52"/>
        <o:r id="V:Rule31" type="connector" idref="#AutoShape 18"/>
        <o:r id="V:Rule32" type="connector" idref="#AutoShape 25"/>
        <o:r id="V:Rule33" type="connector" idref="#AutoShape 50"/>
        <o:r id="V:Rule34" type="connector" idref="#AutoShape 9"/>
        <o:r id="V:Rule35" type="connector" idref="#AutoShape 28"/>
        <o:r id="V:Rule36" type="connector" idref="#AutoShape 56"/>
        <o:r id="V:Rule37" type="connector" idref="#AutoShape 20"/>
        <o:r id="V:Rule38" type="connector" idref="#AutoShape 17"/>
        <o:r id="V:Rule39" type="connector" idref="#AutoShape 23"/>
        <o:r id="V:Rule40" type="connector" idref="#AutoShape 58"/>
        <o:r id="V:Rule41" type="connector" idref="#AutoShape 15"/>
        <o:r id="V:Rule42" type="connector" idref="#AutoShape 27"/>
        <o:r id="V:Rule43" type="connector" idref="#AutoShape 60"/>
        <o:r id="V:Rule44" type="connector" idref="#AutoShape 6"/>
        <o:r id="V:Rule45" type="connector" idref="#AutoShape 3"/>
        <o:r id="V:Rule46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FC54-86D8-42BF-9748-03DBDE62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40</Pages>
  <Words>7407</Words>
  <Characters>42225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21</cp:revision>
  <cp:lastPrinted>2015-09-02T17:08:00Z</cp:lastPrinted>
  <dcterms:created xsi:type="dcterms:W3CDTF">2015-06-06T11:19:00Z</dcterms:created>
  <dcterms:modified xsi:type="dcterms:W3CDTF">2017-07-19T08:52:00Z</dcterms:modified>
</cp:coreProperties>
</file>