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высшего </w:t>
      </w:r>
      <w:r w:rsidR="00C95319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15EC" w:rsidRDefault="00A115EC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A115EC" w:rsidRDefault="00A115EC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A115EC" w:rsidRDefault="00A115EC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A115EC" w:rsidRDefault="00A115EC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Приказом Минобрнауки РФ от 14.12.2010 №1763 (ред. от 31.05.2011) «Об утверждении и введении в действие федерального государственн</w:t>
      </w:r>
      <w:r w:rsidR="0031430D">
        <w:rPr>
          <w:rFonts w:ascii="Times New Roman" w:hAnsi="Times New Roman"/>
          <w:color w:val="000000" w:themeColor="text1"/>
          <w:sz w:val="28"/>
          <w:szCs w:val="24"/>
        </w:rPr>
        <w:t xml:space="preserve">ого образовательного стандарта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31430D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C95319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DF17D4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DF17D4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DF17D4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DF17D4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DF17D4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DF17D4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DF17D4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>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Д. Сергеевскому,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П. Печникова,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А. Дриль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1" w:name="_GoBack"/>
      <w:bookmarkEnd w:id="1"/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224. - Режим доступа: Консультант плюс. - Загл.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66" w:rsidRDefault="00784666" w:rsidP="00600290">
      <w:pPr>
        <w:spacing w:after="0" w:line="240" w:lineRule="auto"/>
      </w:pPr>
      <w:r>
        <w:separator/>
      </w:r>
    </w:p>
  </w:endnote>
  <w:endnote w:type="continuationSeparator" w:id="1">
    <w:p w:rsidR="00784666" w:rsidRDefault="00784666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DF17D4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A115EC">
      <w:rPr>
        <w:rFonts w:ascii="Times New Roman" w:hAnsi="Times New Roman"/>
        <w:noProof/>
        <w:sz w:val="24"/>
        <w:szCs w:val="24"/>
      </w:rPr>
      <w:t>38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66" w:rsidRDefault="00784666" w:rsidP="00600290">
      <w:pPr>
        <w:spacing w:after="0" w:line="240" w:lineRule="auto"/>
      </w:pPr>
      <w:r>
        <w:separator/>
      </w:r>
    </w:p>
  </w:footnote>
  <w:footnote w:type="continuationSeparator" w:id="1">
    <w:p w:rsidR="00784666" w:rsidRDefault="00784666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430D"/>
    <w:rsid w:val="00316F99"/>
    <w:rsid w:val="00322C5A"/>
    <w:rsid w:val="003302A6"/>
    <w:rsid w:val="00333E51"/>
    <w:rsid w:val="00337358"/>
    <w:rsid w:val="00340527"/>
    <w:rsid w:val="003458EF"/>
    <w:rsid w:val="003471BA"/>
    <w:rsid w:val="00351ECC"/>
    <w:rsid w:val="0035784F"/>
    <w:rsid w:val="00361461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97230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2F45"/>
    <w:rsid w:val="00406144"/>
    <w:rsid w:val="004132C7"/>
    <w:rsid w:val="004239EE"/>
    <w:rsid w:val="0043002C"/>
    <w:rsid w:val="00444288"/>
    <w:rsid w:val="00446BE6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D1E8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8466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57B09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15EC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5319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17D4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AutoShape 36"/>
        <o:r id="V:Rule25" type="connector" idref="#AutoShape 32"/>
        <o:r id="V:Rule26" type="connector" idref="#AutoShape 5"/>
        <o:r id="V:Rule27" type="connector" idref="#AutoShape 14"/>
        <o:r id="V:Rule28" type="connector" idref="#AutoShape 30"/>
        <o:r id="V:Rule29" type="connector" idref="#AutoShape 13"/>
        <o:r id="V:Rule30" type="connector" idref="#AutoShape 52"/>
        <o:r id="V:Rule31" type="connector" idref="#AutoShape 18"/>
        <o:r id="V:Rule32" type="connector" idref="#AutoShape 25"/>
        <o:r id="V:Rule33" type="connector" idref="#AutoShape 50"/>
        <o:r id="V:Rule34" type="connector" idref="#AutoShape 9"/>
        <o:r id="V:Rule35" type="connector" idref="#AutoShape 28"/>
        <o:r id="V:Rule36" type="connector" idref="#AutoShape 56"/>
        <o:r id="V:Rule37" type="connector" idref="#AutoShape 20"/>
        <o:r id="V:Rule38" type="connector" idref="#AutoShape 17"/>
        <o:r id="V:Rule39" type="connector" idref="#AutoShape 23"/>
        <o:r id="V:Rule40" type="connector" idref="#AutoShape 58"/>
        <o:r id="V:Rule41" type="connector" idref="#AutoShape 15"/>
        <o:r id="V:Rule42" type="connector" idref="#AutoShape 27"/>
        <o:r id="V:Rule43" type="connector" idref="#AutoShape 60"/>
        <o:r id="V:Rule44" type="connector" idref="#AutoShape 6"/>
        <o:r id="V:Rule45" type="connector" idref="#AutoShape 3"/>
        <o:r id="V:Rule46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C54-86D8-42BF-9748-03DBDE6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40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2017-07-20T08:45:00Z</dcterms:modified>
</cp:coreProperties>
</file>