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0" w:rsidRPr="00961547" w:rsidRDefault="002F6B70" w:rsidP="009B3714">
      <w:pPr>
        <w:jc w:val="center"/>
      </w:pPr>
      <w:r>
        <w:t xml:space="preserve">   </w:t>
      </w:r>
      <w:r w:rsidRPr="00961547">
        <w:t>ФЕДЕРАЛЬНОЕ ГОСУДАРСТВЕННОЕ ОБРАЗОВАТЕЛЬНОЕ БЮДЖЕТНОЕ УЧРЕЖДЕНИЕ ВЫСШЕГО ОБРАЗОВАНИЯ</w:t>
      </w:r>
    </w:p>
    <w:p w:rsidR="002F6B70" w:rsidRPr="00961547" w:rsidRDefault="002F6B70" w:rsidP="009B3714">
      <w:pPr>
        <w:jc w:val="center"/>
        <w:rPr>
          <w:b/>
          <w:bCs/>
          <w:sz w:val="28"/>
          <w:szCs w:val="28"/>
        </w:rPr>
      </w:pPr>
      <w:r w:rsidRPr="00961547">
        <w:rPr>
          <w:b/>
          <w:bCs/>
          <w:sz w:val="28"/>
          <w:szCs w:val="28"/>
        </w:rPr>
        <w:t>«ФИНАНСОВЫЙ УНИВЕРСИТЕТ ПРИ ПРАВИТЕЛЬСТВЕ</w:t>
      </w:r>
    </w:p>
    <w:p w:rsidR="002F6B70" w:rsidRPr="00961547" w:rsidRDefault="002F6B70" w:rsidP="009B3714">
      <w:pPr>
        <w:jc w:val="center"/>
        <w:rPr>
          <w:b/>
          <w:bCs/>
          <w:sz w:val="28"/>
          <w:szCs w:val="28"/>
        </w:rPr>
      </w:pPr>
      <w:r w:rsidRPr="00961547">
        <w:rPr>
          <w:b/>
          <w:bCs/>
          <w:sz w:val="28"/>
          <w:szCs w:val="28"/>
        </w:rPr>
        <w:t xml:space="preserve"> РОССИЙСКОЙ ФЕДЕРАЦИИ»</w:t>
      </w:r>
    </w:p>
    <w:p w:rsidR="002F6B70" w:rsidRPr="00961547" w:rsidRDefault="00C25244" w:rsidP="009B3714">
      <w:pPr>
        <w:jc w:val="center"/>
        <w:rPr>
          <w:b/>
          <w:bCs/>
          <w:sz w:val="28"/>
          <w:szCs w:val="28"/>
        </w:rPr>
      </w:pPr>
      <w:r w:rsidRPr="00C25244">
        <w:rPr>
          <w:b/>
          <w:bCs/>
          <w:sz w:val="28"/>
          <w:szCs w:val="28"/>
        </w:rPr>
        <w:pict>
          <v:rect id="_x0000_i1025" style="width:474.9pt;height:2pt" o:hralign="center" o:hrstd="t" o:hrnoshade="t" o:hr="t" fillcolor="black" stroked="f"/>
        </w:pict>
      </w:r>
    </w:p>
    <w:p w:rsidR="002F6B70" w:rsidRPr="00961547" w:rsidRDefault="002F6B70" w:rsidP="009B3714">
      <w:pPr>
        <w:spacing w:after="200" w:line="276" w:lineRule="auto"/>
        <w:jc w:val="center"/>
      </w:pPr>
      <w:r w:rsidRPr="00961547">
        <w:rPr>
          <w:b/>
          <w:bCs/>
          <w:sz w:val="28"/>
          <w:szCs w:val="28"/>
        </w:rPr>
        <w:t>ВЛАДИМИРСКИЙ ФИЛИАЛ</w:t>
      </w:r>
    </w:p>
    <w:p w:rsidR="002F6B70" w:rsidRPr="00961547" w:rsidRDefault="002F6B70" w:rsidP="009B3714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61547">
        <w:rPr>
          <w:b/>
          <w:bCs/>
          <w:sz w:val="28"/>
          <w:szCs w:val="28"/>
        </w:rPr>
        <w:t>Кафедра «Экономика и финансы»</w:t>
      </w:r>
    </w:p>
    <w:p w:rsidR="002F6B70" w:rsidRDefault="002F6B70" w:rsidP="009B3714">
      <w:pPr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B70" w:rsidRDefault="002F6B70" w:rsidP="009B3714">
      <w:pPr>
        <w:keepNext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МАКРОЭКОНОМИЧЕСКОЕ ПЛАНИРОВАНИЕ </w:t>
      </w:r>
    </w:p>
    <w:p w:rsidR="002F6B70" w:rsidRDefault="002F6B70" w:rsidP="009B3714">
      <w:pPr>
        <w:keepNext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ПРОГНОЗИРОВАНИЕ </w:t>
      </w:r>
    </w:p>
    <w:p w:rsidR="002F6B70" w:rsidRDefault="002F6B70" w:rsidP="009B3714">
      <w:pPr>
        <w:widowControl w:val="0"/>
        <w:autoSpaceDE w:val="0"/>
        <w:autoSpaceDN w:val="0"/>
        <w:adjustRightInd w:val="0"/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 контрольных работ</w:t>
      </w:r>
    </w:p>
    <w:p w:rsidR="002F6B70" w:rsidRDefault="002F6B70" w:rsidP="009B3714">
      <w:pPr>
        <w:widowControl w:val="0"/>
        <w:autoSpaceDE w:val="0"/>
        <w:autoSpaceDN w:val="0"/>
        <w:adjustRightInd w:val="0"/>
        <w:ind w:right="-2" w:firstLine="567"/>
        <w:jc w:val="center"/>
        <w:rPr>
          <w:sz w:val="28"/>
          <w:szCs w:val="28"/>
        </w:rPr>
      </w:pPr>
    </w:p>
    <w:p w:rsidR="002F6B70" w:rsidRDefault="002F6B70" w:rsidP="009B37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38.03.01 «Экономика» подготовки бакалавра</w:t>
      </w:r>
    </w:p>
    <w:p w:rsidR="002F6B70" w:rsidRDefault="002F6B70" w:rsidP="009B3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B70" w:rsidRDefault="002F6B70" w:rsidP="009B3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B70" w:rsidRPr="009B3714" w:rsidRDefault="002F6B70" w:rsidP="009B3714">
      <w:pPr>
        <w:widowControl w:val="0"/>
        <w:autoSpaceDE w:val="0"/>
        <w:autoSpaceDN w:val="0"/>
        <w:adjustRightInd w:val="0"/>
        <w:ind w:right="-2" w:firstLine="567"/>
        <w:jc w:val="center"/>
        <w:rPr>
          <w:sz w:val="28"/>
          <w:szCs w:val="28"/>
        </w:rPr>
      </w:pPr>
      <w:r w:rsidRPr="009B3714">
        <w:t>Профили: Финансы и кредит, Бухгалтерский учет, анализ и аудит</w:t>
      </w: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039"/>
        <w:gridCol w:w="920"/>
      </w:tblGrid>
      <w:tr w:rsidR="002F6B70">
        <w:tc>
          <w:tcPr>
            <w:tcW w:w="5495" w:type="dxa"/>
          </w:tcPr>
          <w:p w:rsidR="002F6B70" w:rsidRDefault="002F6B70" w:rsidP="00BC5D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2F6B70" w:rsidRDefault="002F6B70" w:rsidP="00BC5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B70">
        <w:tc>
          <w:tcPr>
            <w:tcW w:w="5495" w:type="dxa"/>
          </w:tcPr>
          <w:tbl>
            <w:tblPr>
              <w:tblW w:w="8823" w:type="dxa"/>
              <w:tblLook w:val="00A0"/>
            </w:tblPr>
            <w:tblGrid>
              <w:gridCol w:w="8823"/>
            </w:tblGrid>
            <w:tr w:rsidR="002F6B70" w:rsidRPr="00961547">
              <w:tc>
                <w:tcPr>
                  <w:tcW w:w="8823" w:type="dxa"/>
                </w:tcPr>
                <w:p w:rsidR="002F6B70" w:rsidRPr="00961547" w:rsidRDefault="002F6B70" w:rsidP="009B3714">
                  <w:pPr>
                    <w:spacing w:line="288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61547">
                    <w:rPr>
                      <w:i/>
                      <w:iCs/>
                      <w:sz w:val="28"/>
                      <w:szCs w:val="28"/>
                    </w:rPr>
                    <w:t>Одобрено кафедрой «Экономика и финансы»</w:t>
                  </w:r>
                </w:p>
              </w:tc>
            </w:tr>
            <w:tr w:rsidR="002F6B70" w:rsidRPr="00961547">
              <w:tc>
                <w:tcPr>
                  <w:tcW w:w="8823" w:type="dxa"/>
                </w:tcPr>
                <w:p w:rsidR="002F6B70" w:rsidRPr="00961547" w:rsidRDefault="002F6B70" w:rsidP="009B3714">
                  <w:pPr>
                    <w:spacing w:line="288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61547">
                    <w:rPr>
                      <w:i/>
                      <w:iCs/>
                      <w:sz w:val="28"/>
                      <w:szCs w:val="28"/>
                    </w:rPr>
                    <w:t xml:space="preserve">Протокол от «30» мая </w:t>
                  </w:r>
                  <w:r w:rsidRPr="00961547">
                    <w:rPr>
                      <w:i/>
                      <w:iCs/>
                      <w:sz w:val="28"/>
                      <w:szCs w:val="28"/>
                      <w:u w:val="single"/>
                    </w:rPr>
                    <w:t>2016</w:t>
                  </w:r>
                  <w:r w:rsidRPr="00961547">
                    <w:rPr>
                      <w:i/>
                      <w:iCs/>
                      <w:sz w:val="28"/>
                      <w:szCs w:val="28"/>
                    </w:rPr>
                    <w:t xml:space="preserve"> г. № 13</w:t>
                  </w:r>
                </w:p>
                <w:p w:rsidR="002F6B70" w:rsidRPr="00961547" w:rsidRDefault="002F6B70" w:rsidP="009B3714">
                  <w:pPr>
                    <w:spacing w:line="288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F6B70" w:rsidRPr="00961547" w:rsidRDefault="002F6B70" w:rsidP="009B3714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2F6B70" w:rsidRPr="00961547" w:rsidRDefault="002F6B70" w:rsidP="009B3714">
                  <w:pPr>
                    <w:spacing w:line="288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61547">
                    <w:rPr>
                      <w:sz w:val="28"/>
                      <w:szCs w:val="28"/>
                    </w:rPr>
                    <w:t>Владимир 2016</w:t>
                  </w:r>
                </w:p>
              </w:tc>
            </w:tr>
          </w:tbl>
          <w:p w:rsidR="002F6B70" w:rsidRDefault="002F6B70" w:rsidP="00BC5D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2F6B70" w:rsidRDefault="002F6B70" w:rsidP="00BC5D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6B70" w:rsidRDefault="002F6B70" w:rsidP="009B3714">
      <w:pPr>
        <w:pStyle w:val="1"/>
        <w:rPr>
          <w:sz w:val="24"/>
          <w:szCs w:val="24"/>
        </w:rPr>
      </w:pPr>
      <w:r w:rsidRPr="007B7D0D">
        <w:rPr>
          <w:sz w:val="24"/>
          <w:szCs w:val="24"/>
        </w:rPr>
        <w:lastRenderedPageBreak/>
        <w:t>Методические рекомендации по написанию контрольных работ</w:t>
      </w:r>
    </w:p>
    <w:p w:rsidR="002F6B70" w:rsidRPr="00AA3808" w:rsidRDefault="002F6B70" w:rsidP="009B3714">
      <w:pPr>
        <w:jc w:val="center"/>
        <w:rPr>
          <w:b/>
          <w:bCs/>
        </w:rPr>
      </w:pPr>
      <w:r w:rsidRPr="00AA3808">
        <w:rPr>
          <w:b/>
          <w:bCs/>
        </w:rPr>
        <w:t>по дисциплине «Макроэкономическое планирование и прогнозирование»</w:t>
      </w:r>
    </w:p>
    <w:p w:rsidR="002F6B70" w:rsidRDefault="002F6B70" w:rsidP="009B3714">
      <w:pPr>
        <w:ind w:firstLine="567"/>
        <w:jc w:val="both"/>
      </w:pPr>
    </w:p>
    <w:p w:rsidR="002F6B70" w:rsidRPr="00EB7C4A" w:rsidRDefault="002F6B70" w:rsidP="009B3714">
      <w:pPr>
        <w:ind w:firstLine="567"/>
        <w:jc w:val="both"/>
      </w:pPr>
      <w:r w:rsidRPr="00EB7C4A">
        <w:t xml:space="preserve">Методические указания к выполнению контрольных работ составлены в соответствии с программой курса «Макроэкономическое планирование и прогнозирование» и предназначены для студентов заочной формы обучения по направлению «Экономика». Данные методические указания включают примерное содержание контрольных работ и рекомендуемую литературу. </w:t>
      </w:r>
    </w:p>
    <w:p w:rsidR="002F6B70" w:rsidRPr="00EB7C4A" w:rsidRDefault="002F6B70" w:rsidP="009B3714">
      <w:pPr>
        <w:ind w:firstLine="567"/>
        <w:jc w:val="both"/>
      </w:pPr>
      <w:r w:rsidRPr="00EB7C4A">
        <w:t>В рамках указанной дисциплины студенты должны подготовить контрольную работу и пройти по ней собеседование.</w:t>
      </w:r>
    </w:p>
    <w:p w:rsidR="002F6B70" w:rsidRPr="00EB7C4A" w:rsidRDefault="002F6B70" w:rsidP="009B3714">
      <w:pPr>
        <w:ind w:firstLine="567"/>
        <w:jc w:val="both"/>
      </w:pPr>
      <w:r w:rsidRPr="00EB7C4A">
        <w:rPr>
          <w:b/>
          <w:bCs/>
          <w:i/>
          <w:iCs/>
        </w:rPr>
        <w:t>Цель:</w:t>
      </w:r>
      <w:r w:rsidRPr="00EB7C4A">
        <w:t xml:space="preserve"> расширение и углубление знаний, приобретению опыта работы со специализированной литературой и формированию системы компетенций, необходимых в будущем для решения профессиональных задач.</w:t>
      </w:r>
    </w:p>
    <w:p w:rsidR="002F6B70" w:rsidRPr="00EB7C4A" w:rsidRDefault="002F6B70" w:rsidP="009B3714">
      <w:pPr>
        <w:ind w:firstLine="567"/>
        <w:jc w:val="both"/>
      </w:pPr>
      <w:r w:rsidRPr="00EB7C4A">
        <w:t>При написании контрольных работ рекомендуется использовать фактический цифровой материал, который можно представлять в виде таблиц, динамических рядов, цифр, графиков, диаграмм. Студент должен уметь анализировать представленные данные, прогнозировать будущие процессы и делать соответствующие выводы и предложения.</w:t>
      </w:r>
    </w:p>
    <w:p w:rsidR="002F6B70" w:rsidRDefault="002F6B70" w:rsidP="009B3714">
      <w:pPr>
        <w:ind w:firstLine="539"/>
        <w:jc w:val="both"/>
      </w:pPr>
    </w:p>
    <w:p w:rsidR="002F6B70" w:rsidRDefault="002F6B70" w:rsidP="009B3714">
      <w:pPr>
        <w:ind w:firstLine="539"/>
        <w:jc w:val="both"/>
      </w:pPr>
      <w:r w:rsidRPr="00291BEC">
        <w:t>При подготовке контрольной работы студенту необходимо:</w:t>
      </w:r>
    </w:p>
    <w:p w:rsidR="002F6B70" w:rsidRDefault="002F6B70" w:rsidP="009B3714">
      <w:pPr>
        <w:ind w:left="454" w:firstLine="709"/>
        <w:jc w:val="both"/>
      </w:pPr>
      <w:r>
        <w:t xml:space="preserve">1. </w:t>
      </w:r>
      <w:r w:rsidRPr="00291BEC">
        <w:t xml:space="preserve">Правильно выбрать вариант контрольной работы. </w:t>
      </w:r>
      <w:r>
        <w:t xml:space="preserve">Задания к контрольной работе представлены в десяти вариантах. </w:t>
      </w:r>
      <w:r w:rsidRPr="00EB7C4A">
        <w:t>Вариант контрольной работы выбирается в соответствии с начальной буквой фамилии студента.</w:t>
      </w:r>
    </w:p>
    <w:p w:rsidR="002F6B70" w:rsidRPr="00EB7C4A" w:rsidRDefault="002F6B70" w:rsidP="009B3714">
      <w:pPr>
        <w:ind w:left="454" w:firstLine="709"/>
        <w:jc w:val="both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835"/>
        <w:gridCol w:w="4018"/>
      </w:tblGrid>
      <w:tr w:rsidR="002F6B70" w:rsidRPr="00665D34">
        <w:trPr>
          <w:tblHeader/>
        </w:trPr>
        <w:tc>
          <w:tcPr>
            <w:tcW w:w="2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 w:rsidRPr="00665D34">
              <w:rPr>
                <w:b/>
                <w:bCs/>
              </w:rPr>
              <w:t>Начальная буква фамилии студента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 w:rsidRPr="00665D34">
              <w:rPr>
                <w:b/>
                <w:bCs/>
              </w:rPr>
              <w:t>Номера вариантов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А, М, Ц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1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Б, Н, Ч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2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В, О, Ш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3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Г, П, Щ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4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Д, Р, Э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5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Ж, С, Ю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6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З, Т, Я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7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 xml:space="preserve">И, У, 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8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К, Ф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9</w:t>
            </w:r>
          </w:p>
        </w:tc>
      </w:tr>
      <w:tr w:rsidR="002F6B70" w:rsidRPr="00665D34"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Л, Х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70" w:rsidRPr="00665D34" w:rsidRDefault="002F6B70" w:rsidP="00BC5D85">
            <w:pPr>
              <w:jc w:val="center"/>
            </w:pPr>
            <w:r>
              <w:t>10</w:t>
            </w:r>
          </w:p>
        </w:tc>
      </w:tr>
    </w:tbl>
    <w:p w:rsidR="002F6B70" w:rsidRPr="00AB66E2" w:rsidRDefault="002F6B70" w:rsidP="009B3714">
      <w:pPr>
        <w:ind w:left="284" w:firstLine="425"/>
        <w:jc w:val="both"/>
      </w:pPr>
    </w:p>
    <w:p w:rsidR="002F6B70" w:rsidRPr="00291BEC" w:rsidRDefault="002F6B70" w:rsidP="009B3714">
      <w:pPr>
        <w:numPr>
          <w:ilvl w:val="0"/>
          <w:numId w:val="2"/>
        </w:numPr>
        <w:jc w:val="both"/>
      </w:pPr>
      <w:r w:rsidRPr="00291BEC">
        <w:t>Написать</w:t>
      </w:r>
      <w:r>
        <w:t xml:space="preserve">  </w:t>
      </w:r>
      <w:r w:rsidRPr="00291BEC">
        <w:t>номер и вопросы варианта на первой странице и в соответствии с ними построить весь материал.</w:t>
      </w:r>
    </w:p>
    <w:p w:rsidR="002F6B70" w:rsidRPr="00291BEC" w:rsidRDefault="002F6B70" w:rsidP="009B3714">
      <w:pPr>
        <w:numPr>
          <w:ilvl w:val="0"/>
          <w:numId w:val="2"/>
        </w:numPr>
        <w:jc w:val="both"/>
      </w:pPr>
      <w:r w:rsidRPr="00291BEC">
        <w:t>Обязательно пронумеровать страницы работы, оставить поля для заметок рецензента.</w:t>
      </w:r>
    </w:p>
    <w:p w:rsidR="002F6B70" w:rsidRDefault="002F6B70" w:rsidP="009B3714">
      <w:pPr>
        <w:numPr>
          <w:ilvl w:val="0"/>
          <w:numId w:val="2"/>
        </w:numPr>
        <w:jc w:val="both"/>
      </w:pPr>
      <w:r>
        <w:t>Писать текст работы следует самостоятельно, на используемые библиографические источники, в том числе электронные, необходимо поставить ссылки и сформировать библиографический список.</w:t>
      </w:r>
    </w:p>
    <w:p w:rsidR="002F6B70" w:rsidRPr="00C04A9F" w:rsidRDefault="002F6B70" w:rsidP="009B3714">
      <w:pPr>
        <w:numPr>
          <w:ilvl w:val="0"/>
          <w:numId w:val="2"/>
        </w:numPr>
        <w:jc w:val="both"/>
      </w:pPr>
      <w:r w:rsidRPr="00291BEC">
        <w:t xml:space="preserve">Придерживаться установленного объема работы: не более </w:t>
      </w:r>
      <w:r>
        <w:t>18</w:t>
      </w:r>
      <w:r w:rsidRPr="00291BEC">
        <w:t xml:space="preserve"> страниц машиноп</w:t>
      </w:r>
      <w:r>
        <w:t xml:space="preserve">исного текста (лист формата А4), шрифт – </w:t>
      </w:r>
      <w:r>
        <w:rPr>
          <w:lang w:val="en-US"/>
        </w:rPr>
        <w:t>TNR</w:t>
      </w:r>
      <w:r>
        <w:t>, 12 кегль, полуторный межстрочный интервал.</w:t>
      </w:r>
    </w:p>
    <w:p w:rsidR="002F6B70" w:rsidRPr="00291BEC" w:rsidRDefault="002F6B70" w:rsidP="009B3714">
      <w:pPr>
        <w:numPr>
          <w:ilvl w:val="0"/>
          <w:numId w:val="2"/>
        </w:numPr>
        <w:jc w:val="both"/>
      </w:pPr>
      <w:r w:rsidRPr="00291BEC">
        <w:t>Поставить в конце работы дату ее выполнения и свою подпись.</w:t>
      </w:r>
    </w:p>
    <w:p w:rsidR="002F6B70" w:rsidRPr="00EB7C4A" w:rsidRDefault="002F6B70" w:rsidP="009B3714">
      <w:pPr>
        <w:ind w:firstLine="567"/>
        <w:jc w:val="both"/>
      </w:pPr>
      <w:r w:rsidRPr="00EB7C4A">
        <w:t xml:space="preserve">В контрольной работе </w:t>
      </w:r>
      <w:r w:rsidRPr="006A38AA">
        <w:rPr>
          <w:u w:val="single"/>
        </w:rPr>
        <w:t>не допускается</w:t>
      </w:r>
      <w:r w:rsidRPr="00EB7C4A">
        <w:t xml:space="preserve"> списывание текста из учебника и других источников или выполнение не соответствующего рекомендованной тематикой (по алфавиту) варианта работы.</w:t>
      </w:r>
    </w:p>
    <w:p w:rsidR="002F6B70" w:rsidRDefault="002F6B70" w:rsidP="009B3714">
      <w:pPr>
        <w:ind w:firstLine="567"/>
        <w:jc w:val="both"/>
      </w:pPr>
      <w:r w:rsidRPr="00EB7C4A">
        <w:t xml:space="preserve">Работы, выполненные на другую тему, не засчитываются. </w:t>
      </w:r>
    </w:p>
    <w:p w:rsidR="002F6B70" w:rsidRDefault="002F6B70" w:rsidP="009B3714">
      <w:pPr>
        <w:ind w:firstLine="567"/>
        <w:jc w:val="both"/>
      </w:pPr>
      <w:r w:rsidRPr="00E63B73">
        <w:t xml:space="preserve">Работа предоставляется в деканат </w:t>
      </w:r>
      <w:r>
        <w:t xml:space="preserve">второго высшего и дополнительного образования </w:t>
      </w:r>
      <w:r w:rsidRPr="00E63B73">
        <w:t xml:space="preserve">до начала экзаменационной сессии в соответствии с календарным учебным графиком, </w:t>
      </w:r>
      <w:r w:rsidRPr="00E63B73">
        <w:lastRenderedPageBreak/>
        <w:t xml:space="preserve">передается деканатом на проверку преподавателю. При необходимости, работа возвращается деканатом студенту на доработку в соответствии с письменными замечаниями преподавателя, после чего снова сдается на проверку. Зачтенная контрольная работа служит допуском к </w:t>
      </w:r>
      <w:r>
        <w:t xml:space="preserve"> зачету </w:t>
      </w:r>
      <w:r w:rsidRPr="00E63B73">
        <w:t>по дисциплине.</w:t>
      </w:r>
      <w:r>
        <w:t xml:space="preserve"> </w:t>
      </w:r>
    </w:p>
    <w:p w:rsidR="002F6B70" w:rsidRDefault="002F6B70" w:rsidP="009B3714">
      <w:pPr>
        <w:ind w:firstLine="539"/>
        <w:jc w:val="center"/>
        <w:rPr>
          <w:u w:val="single"/>
        </w:rPr>
      </w:pPr>
    </w:p>
    <w:p w:rsidR="002F6B70" w:rsidRPr="00323704" w:rsidRDefault="002F6B70" w:rsidP="009B3714">
      <w:pPr>
        <w:ind w:firstLine="539"/>
        <w:jc w:val="center"/>
        <w:rPr>
          <w:u w:val="single"/>
        </w:rPr>
      </w:pPr>
      <w:r w:rsidRPr="00323704">
        <w:rPr>
          <w:u w:val="single"/>
        </w:rPr>
        <w:t>Темы контрольных работ</w:t>
      </w:r>
    </w:p>
    <w:p w:rsidR="002F6B70" w:rsidRDefault="002F6B70" w:rsidP="009B3714">
      <w:pPr>
        <w:shd w:val="clear" w:color="auto" w:fill="FFFFFF"/>
        <w:ind w:left="34"/>
        <w:jc w:val="center"/>
        <w:rPr>
          <w:i/>
          <w:iCs/>
          <w:color w:val="000000"/>
          <w:spacing w:val="2"/>
        </w:rPr>
      </w:pPr>
    </w:p>
    <w:p w:rsidR="002F6B70" w:rsidRPr="00DA0FA3" w:rsidRDefault="002F6B70" w:rsidP="009B3714">
      <w:pPr>
        <w:shd w:val="clear" w:color="auto" w:fill="FFFFFF"/>
        <w:spacing w:before="240"/>
        <w:ind w:left="34"/>
        <w:jc w:val="center"/>
      </w:pPr>
      <w:r w:rsidRPr="00DA0FA3">
        <w:rPr>
          <w:i/>
          <w:iCs/>
          <w:color w:val="000000"/>
          <w:spacing w:val="2"/>
        </w:rPr>
        <w:t xml:space="preserve">Вариант </w:t>
      </w:r>
      <w:r>
        <w:rPr>
          <w:i/>
          <w:iCs/>
          <w:color w:val="000000"/>
          <w:spacing w:val="2"/>
        </w:rPr>
        <w:t>7</w:t>
      </w:r>
    </w:p>
    <w:p w:rsidR="002F6B70" w:rsidRPr="00CB031E" w:rsidRDefault="002F6B70" w:rsidP="009B3714">
      <w:pPr>
        <w:ind w:firstLine="539"/>
        <w:jc w:val="center"/>
      </w:pPr>
      <w:r>
        <w:t xml:space="preserve">Прогнозирование и стратегическое планирование в странах Южной и Северной Европы  </w:t>
      </w:r>
    </w:p>
    <w:p w:rsidR="002F6B70" w:rsidRDefault="002F6B70" w:rsidP="009B3714">
      <w:pPr>
        <w:ind w:firstLine="539"/>
        <w:jc w:val="both"/>
      </w:pPr>
    </w:p>
    <w:p w:rsidR="002F6B70" w:rsidRPr="00BD5B25" w:rsidRDefault="002F6B70" w:rsidP="009B3714">
      <w:pPr>
        <w:numPr>
          <w:ilvl w:val="0"/>
          <w:numId w:val="8"/>
        </w:numPr>
        <w:jc w:val="both"/>
      </w:pPr>
      <w:r>
        <w:t>Прогнозирование и стратегическое планирование в Испании.</w:t>
      </w:r>
    </w:p>
    <w:p w:rsidR="002F6B70" w:rsidRDefault="002F6B70" w:rsidP="009B3714">
      <w:pPr>
        <w:numPr>
          <w:ilvl w:val="0"/>
          <w:numId w:val="8"/>
        </w:numPr>
        <w:jc w:val="both"/>
      </w:pPr>
      <w:r>
        <w:t>Прогнозирование и стратегическое планирование в Норвегии.</w:t>
      </w:r>
    </w:p>
    <w:p w:rsidR="002F6B70" w:rsidRPr="00BD5B25" w:rsidRDefault="002F6B70" w:rsidP="009B3714">
      <w:pPr>
        <w:numPr>
          <w:ilvl w:val="0"/>
          <w:numId w:val="8"/>
        </w:numPr>
        <w:jc w:val="both"/>
      </w:pPr>
      <w:r>
        <w:t>Прогнозирование и стратегическое планирование в странах Южной и Северной Европы (Италия, Швеция, Дания, Финляндия и пр.).</w:t>
      </w:r>
    </w:p>
    <w:p w:rsidR="002F6B70" w:rsidRDefault="002F6B70" w:rsidP="009B3714">
      <w:pPr>
        <w:ind w:firstLine="539"/>
        <w:jc w:val="center"/>
      </w:pPr>
    </w:p>
    <w:p w:rsidR="002F6B70" w:rsidRDefault="002F6B70" w:rsidP="009B3714">
      <w:pPr>
        <w:shd w:val="clear" w:color="auto" w:fill="FFFFFF"/>
        <w:ind w:firstLine="567"/>
        <w:jc w:val="both"/>
      </w:pPr>
      <w:r>
        <w:t>При выполнении контрольной работы по каждому из вопросов следует кратко охарактеризовать систему прогнозирования и стратегического</w:t>
      </w:r>
      <w:r w:rsidRPr="00417905">
        <w:t xml:space="preserve"> планирования</w:t>
      </w:r>
      <w:r>
        <w:t xml:space="preserve"> в рассматриваемой стране, отразить с</w:t>
      </w:r>
      <w:r w:rsidRPr="00417905">
        <w:t>пецифик</w:t>
      </w:r>
      <w:r>
        <w:t xml:space="preserve">у системы макроэкономического </w:t>
      </w:r>
      <w:r w:rsidRPr="00417905">
        <w:t>планирования</w:t>
      </w:r>
      <w:r>
        <w:t>.</w:t>
      </w:r>
    </w:p>
    <w:p w:rsidR="002F6B70" w:rsidRDefault="002F6B70" w:rsidP="009B3714">
      <w:pPr>
        <w:shd w:val="clear" w:color="auto" w:fill="FFFFFF"/>
        <w:ind w:firstLine="567"/>
        <w:jc w:val="both"/>
        <w:rPr>
          <w:i/>
          <w:iCs/>
          <w:color w:val="000000"/>
          <w:spacing w:val="2"/>
        </w:rPr>
      </w:pPr>
      <w:r>
        <w:t>Сделать выводы о возможностях и ограничениях применения опыта прогнозирования и стратегического</w:t>
      </w:r>
      <w:r w:rsidRPr="00417905">
        <w:t xml:space="preserve"> планирования</w:t>
      </w:r>
      <w:r>
        <w:t xml:space="preserve"> социально-экономического развития рассмотренных  стран в российских условиях.</w:t>
      </w:r>
    </w:p>
    <w:p w:rsidR="002F6B70" w:rsidRDefault="002F6B70" w:rsidP="009B3714">
      <w:pPr>
        <w:shd w:val="clear" w:color="auto" w:fill="FFFFFF"/>
        <w:ind w:left="34"/>
        <w:jc w:val="center"/>
        <w:rPr>
          <w:i/>
          <w:iCs/>
          <w:color w:val="000000"/>
          <w:spacing w:val="2"/>
        </w:rPr>
      </w:pPr>
    </w:p>
    <w:p w:rsidR="002F6B70" w:rsidRPr="009B3714" w:rsidRDefault="002F6B70" w:rsidP="009B3714">
      <w:pPr>
        <w:spacing w:line="360" w:lineRule="auto"/>
        <w:jc w:val="center"/>
        <w:rPr>
          <w:b/>
          <w:bCs/>
        </w:rPr>
      </w:pPr>
      <w:r w:rsidRPr="009B3714">
        <w:rPr>
          <w:b/>
          <w:bCs/>
        </w:rPr>
        <w:t>Основная литература</w:t>
      </w:r>
    </w:p>
    <w:p w:rsidR="002F6B70" w:rsidRPr="009B3714" w:rsidRDefault="002F6B70" w:rsidP="009B3714">
      <w:pPr>
        <w:jc w:val="both"/>
      </w:pPr>
      <w:r w:rsidRPr="009B3714">
        <w:t>1. Макроэкономическое планирование и прогнозирование : учебное пособие / А.Н. Семин, Ю.В. Лысенко, М.В. Лысенко, Э.Х. Таипова. — Москва : КноРус, 2016. (ЭБС book.ru)</w:t>
      </w:r>
    </w:p>
    <w:p w:rsidR="002F6B70" w:rsidRPr="009B3714" w:rsidRDefault="002F6B70" w:rsidP="009B3714">
      <w:pPr>
        <w:jc w:val="both"/>
      </w:pPr>
      <w:r w:rsidRPr="009B3714">
        <w:t>2.Невская Н.А. Макроэкономическое планирование и прогнозирование: Учебник и практикум для академического бакалавриата / Н.А. Невская.-М.: Юрайт, 2015. (ЭБС Юрайт)</w:t>
      </w:r>
    </w:p>
    <w:p w:rsidR="002F6B70" w:rsidRPr="009B3714" w:rsidRDefault="002F6B70" w:rsidP="009B3714">
      <w:pPr>
        <w:spacing w:line="276" w:lineRule="auto"/>
        <w:jc w:val="both"/>
      </w:pPr>
      <w:r w:rsidRPr="009B3714">
        <w:t>3. Прогнозирование и планирование в условиях рынка / Т.Н. Бабич, И.А. Козьева, Ю.В. Вертакова, Э.Н. Кузьбожев: Учебное пособие. - М.: Инфра-М, 2013. (ЭБС znanium.com 2014)</w:t>
      </w:r>
    </w:p>
    <w:p w:rsidR="002F6B70" w:rsidRPr="009B3714" w:rsidRDefault="002F6B70" w:rsidP="009B3714">
      <w:pPr>
        <w:spacing w:line="276" w:lineRule="auto"/>
        <w:ind w:hanging="360"/>
        <w:jc w:val="center"/>
        <w:rPr>
          <w:b/>
          <w:bCs/>
        </w:rPr>
      </w:pPr>
      <w:r w:rsidRPr="009B3714">
        <w:rPr>
          <w:b/>
          <w:bCs/>
        </w:rPr>
        <w:t>Дополнительная литература</w:t>
      </w:r>
    </w:p>
    <w:p w:rsidR="002F6B70" w:rsidRPr="009B3714" w:rsidRDefault="002F6B70" w:rsidP="009B3714">
      <w:bookmarkStart w:id="1" w:name="bookmark28"/>
      <w:r w:rsidRPr="009B3714">
        <w:t>1. Басовский Л. Е.Прогнозирование и планирование в условиях рынка: Учебное пособие / Л.Е. Басовский. - М.: НИЦ ИНФРА-М, 2014. (ЭБС znanium.com)</w:t>
      </w:r>
    </w:p>
    <w:p w:rsidR="002F6B70" w:rsidRPr="009B3714" w:rsidRDefault="002F6B70" w:rsidP="009B3714">
      <w:r w:rsidRPr="009B3714">
        <w:t>2. Янковская В. В.Планирование на предприятии: Учебник / В.В. Янковская. - М.: НИЦ Инфра-М, 2013. (ЭБС znanium.com)</w:t>
      </w:r>
    </w:p>
    <w:p w:rsidR="002F6B70" w:rsidRPr="009B3714" w:rsidRDefault="002F6B70" w:rsidP="009B3714">
      <w:r w:rsidRPr="009B3714">
        <w:t>3. Литвинова Т. Н.Планирование на предприятии (в организации): Учебное пособие / Литвинова Т.Н., Морозова И.А., Попкова Е.Г. - М.: НИЦ ИНФРА-М, 2016. . (ЭБС znanium.com)</w:t>
      </w:r>
    </w:p>
    <w:p w:rsidR="002F6B70" w:rsidRPr="009B3714" w:rsidRDefault="002F6B70" w:rsidP="009B3714">
      <w:r w:rsidRPr="009B3714">
        <w:t>4. Стрелкова Л. В.Стрелкова, Л. В. Внутрифирменное планирование [Электронный ресурс] : учеб. пособие для студентов вузов / Л. В. Стрелкова, Ю. А. Макушева. - М. : ЮНИТИ-ДАНА, 2012. (ЭБС znanium.com)</w:t>
      </w:r>
    </w:p>
    <w:p w:rsidR="002F6B70" w:rsidRPr="009B3714" w:rsidRDefault="002F6B70" w:rsidP="009B3714">
      <w:r w:rsidRPr="009B3714">
        <w:t>5. Мусиенко С.О. Внедрение программно-целевого (нормативного) подхода в систему финансового планирования на малых предприятиях // Финансы и кредит, 2015. – № 27.-С.59-67 — &lt;URL:http://elib.fa.ru/art2015/bv2155.pdf&gt;.</w:t>
      </w:r>
    </w:p>
    <w:p w:rsidR="002F6B70" w:rsidRPr="009B3714" w:rsidRDefault="002F6B70" w:rsidP="009B3714">
      <w:pPr>
        <w:pStyle w:val="a7"/>
        <w:spacing w:after="200" w:line="276" w:lineRule="auto"/>
        <w:ind w:left="0"/>
        <w:rPr>
          <w:rFonts w:ascii="Times New Roman" w:hAnsi="Times New Roman" w:cs="Times New Roman"/>
          <w:b/>
          <w:bCs/>
        </w:rPr>
      </w:pPr>
      <w:r w:rsidRPr="009B3714">
        <w:rPr>
          <w:rFonts w:ascii="Times New Roman" w:hAnsi="Times New Roman" w:cs="Times New Roman"/>
        </w:rPr>
        <w:t>6. Дядунов Д.В. Использование макромоделей в современной российской практике социально-экономического прогнозирования // Экономические науки, 2015. – № 8.-С.64-67.. — &lt;URL:http://elib.fa.ru/art2015/bv3870.pdf&gt;.</w:t>
      </w:r>
    </w:p>
    <w:p w:rsidR="002F6B70" w:rsidRPr="009B3714" w:rsidRDefault="002F6B70" w:rsidP="009B3714">
      <w:pPr>
        <w:pStyle w:val="a7"/>
        <w:spacing w:after="200" w:line="276" w:lineRule="auto"/>
        <w:ind w:left="0"/>
        <w:rPr>
          <w:rFonts w:ascii="Times New Roman" w:hAnsi="Times New Roman" w:cs="Times New Roman"/>
          <w:b/>
          <w:bCs/>
        </w:rPr>
      </w:pPr>
    </w:p>
    <w:p w:rsidR="002F6B70" w:rsidRPr="009B3714" w:rsidRDefault="002F6B70" w:rsidP="009B3714">
      <w:pPr>
        <w:pStyle w:val="a7"/>
        <w:spacing w:after="200" w:line="276" w:lineRule="auto"/>
        <w:ind w:left="0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  <w:b/>
          <w:bCs/>
        </w:rPr>
        <w:t>7.Перечень ресурсов информационно-телекоммуникационной сети «Интернет», необходимых для освоения дисциплины</w:t>
      </w:r>
      <w:r w:rsidRPr="009B3714">
        <w:rPr>
          <w:rFonts w:ascii="Times New Roman" w:hAnsi="Times New Roman" w:cs="Times New Roman"/>
        </w:rPr>
        <w:t>:</w:t>
      </w:r>
      <w:bookmarkEnd w:id="1"/>
      <w:r w:rsidRPr="009B3714">
        <w:rPr>
          <w:rFonts w:ascii="Times New Roman" w:hAnsi="Times New Roman" w:cs="Times New Roman"/>
        </w:rPr>
        <w:t xml:space="preserve">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lastRenderedPageBreak/>
        <w:t xml:space="preserve">1. www.ach.gov.ru — официальный сайт Счетной палаты Российской Федерации.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2. www.budgetrf.ru – информационно-аналитический комплекс «Бюджетная система Российской Федерации» в рамках проекта «Университетская информационная система России».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3. www.cbr.ru– официальный сайт Центрального банка Российской Федерации.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>4. www.eeg.ru – сайт Экономической экспертной группы – независимого аналитического центра по проблемам макроэкономики и государственных финансов.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 5. http://europa.eu – официальный сайт Европейского Союза.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 6. www.ffms.ru — официальный сайт Федеральной службы по финансовым рынкам.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7. www.fpcenter.ru – официальный сайт Центра фискальной политики.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8. www.government.ru — официальный сайт Правительства Российской Федерации.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9. www.imf.org/external/ index.htm – официальный сайт Международного валютного фонда.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10. www.minfin.ru — официальный сайт Министерства финансов Российской Федерации.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11. www.minfin.gov.by — официальный сайт Министерства финансов Республики Беларусь.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12. www.minfin.kz — официальный сайт Министерства финансов Республики Казахстан.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>13. www.minfin.gov.ua — официальный сайт Министерства финансов Украины.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14. www.nalog.ru — официальный сайт Федеральной налоговой службы.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15. http://openbudget.karelia.ru – Открытый бюджет.Регионы России.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 xml:space="preserve">16. www.rosfinnadzor.ru — официальный сайт Федеральной службы финансово-бюджетного надзора. </w:t>
      </w:r>
    </w:p>
    <w:p w:rsidR="002F6B70" w:rsidRPr="009B3714" w:rsidRDefault="002F6B70" w:rsidP="009B3714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9B3714">
        <w:rPr>
          <w:rFonts w:ascii="Times New Roman" w:hAnsi="Times New Roman" w:cs="Times New Roman"/>
        </w:rPr>
        <w:t>17. www.roskazna.ru — официальный сайт Федерального казначейства.</w:t>
      </w:r>
    </w:p>
    <w:p w:rsidR="002F6B70" w:rsidRPr="009B3714" w:rsidRDefault="002F6B70" w:rsidP="009B3714">
      <w:pPr>
        <w:keepNext/>
        <w:keepLines/>
        <w:tabs>
          <w:tab w:val="left" w:pos="414"/>
        </w:tabs>
        <w:spacing w:line="360" w:lineRule="auto"/>
        <w:jc w:val="both"/>
        <w:outlineLvl w:val="2"/>
        <w:rPr>
          <w:rStyle w:val="Heading3"/>
          <w:b/>
          <w:bCs/>
          <w:sz w:val="24"/>
          <w:szCs w:val="24"/>
        </w:rPr>
      </w:pPr>
      <w:r w:rsidRPr="009B3714">
        <w:t>18. www.worldbank.org – официальный сайт Всемирного банка.</w:t>
      </w:r>
    </w:p>
    <w:p w:rsidR="002F6B70" w:rsidRDefault="002F6B70" w:rsidP="009B3714">
      <w:pPr>
        <w:ind w:firstLine="709"/>
      </w:pPr>
    </w:p>
    <w:sectPr w:rsidR="002F6B70" w:rsidSect="00387D30">
      <w:footerReference w:type="default" r:id="rId7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0B" w:rsidRDefault="00077F0B" w:rsidP="007E5ECA">
      <w:r>
        <w:separator/>
      </w:r>
    </w:p>
  </w:endnote>
  <w:endnote w:type="continuationSeparator" w:id="1">
    <w:p w:rsidR="00077F0B" w:rsidRDefault="00077F0B" w:rsidP="007E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0" w:rsidRPr="00AA3808" w:rsidRDefault="00C25244">
    <w:pPr>
      <w:pStyle w:val="a5"/>
      <w:jc w:val="right"/>
      <w:rPr>
        <w:sz w:val="22"/>
        <w:szCs w:val="22"/>
      </w:rPr>
    </w:pPr>
    <w:r w:rsidRPr="00AA3808">
      <w:rPr>
        <w:sz w:val="22"/>
        <w:szCs w:val="22"/>
      </w:rPr>
      <w:fldChar w:fldCharType="begin"/>
    </w:r>
    <w:r w:rsidR="002F6B70" w:rsidRPr="00AA3808">
      <w:rPr>
        <w:sz w:val="22"/>
        <w:szCs w:val="22"/>
      </w:rPr>
      <w:instrText>PAGE   \* MERGEFORMAT</w:instrText>
    </w:r>
    <w:r w:rsidRPr="00AA3808">
      <w:rPr>
        <w:sz w:val="22"/>
        <w:szCs w:val="22"/>
      </w:rPr>
      <w:fldChar w:fldCharType="separate"/>
    </w:r>
    <w:r w:rsidR="005F6796">
      <w:rPr>
        <w:noProof/>
        <w:sz w:val="22"/>
        <w:szCs w:val="22"/>
      </w:rPr>
      <w:t>2</w:t>
    </w:r>
    <w:r w:rsidRPr="00AA3808">
      <w:rPr>
        <w:sz w:val="22"/>
        <w:szCs w:val="22"/>
      </w:rPr>
      <w:fldChar w:fldCharType="end"/>
    </w:r>
  </w:p>
  <w:p w:rsidR="002F6B70" w:rsidRDefault="002F6B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0B" w:rsidRDefault="00077F0B" w:rsidP="007E5ECA">
      <w:r>
        <w:separator/>
      </w:r>
    </w:p>
  </w:footnote>
  <w:footnote w:type="continuationSeparator" w:id="1">
    <w:p w:rsidR="00077F0B" w:rsidRDefault="00077F0B" w:rsidP="007E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48C8"/>
    <w:lvl w:ilvl="0">
      <w:numFmt w:val="bullet"/>
      <w:lvlText w:val="*"/>
      <w:lvlJc w:val="left"/>
    </w:lvl>
  </w:abstractNum>
  <w:abstractNum w:abstractNumId="1">
    <w:nsid w:val="0678493D"/>
    <w:multiLevelType w:val="hybridMultilevel"/>
    <w:tmpl w:val="E834C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7B36D9"/>
    <w:multiLevelType w:val="hybridMultilevel"/>
    <w:tmpl w:val="CE2E6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D614A0"/>
    <w:multiLevelType w:val="hybridMultilevel"/>
    <w:tmpl w:val="DE72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5DCC"/>
    <w:multiLevelType w:val="hybridMultilevel"/>
    <w:tmpl w:val="27904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AC12A9"/>
    <w:multiLevelType w:val="hybridMultilevel"/>
    <w:tmpl w:val="2D546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7D6F40"/>
    <w:multiLevelType w:val="hybridMultilevel"/>
    <w:tmpl w:val="7AD259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DE498A"/>
    <w:multiLevelType w:val="hybridMultilevel"/>
    <w:tmpl w:val="E760053A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>
      <w:start w:val="1"/>
      <w:numFmt w:val="lowerLetter"/>
      <w:lvlText w:val="%2."/>
      <w:lvlJc w:val="left"/>
      <w:pPr>
        <w:ind w:left="2339" w:hanging="360"/>
      </w:p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abstractNum w:abstractNumId="8">
    <w:nsid w:val="53285BE7"/>
    <w:multiLevelType w:val="hybridMultilevel"/>
    <w:tmpl w:val="CE38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8168FD"/>
    <w:multiLevelType w:val="hybridMultilevel"/>
    <w:tmpl w:val="DB2CE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821914"/>
    <w:multiLevelType w:val="hybridMultilevel"/>
    <w:tmpl w:val="2E1C6C4C"/>
    <w:lvl w:ilvl="0" w:tplc="9DF89EEC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187"/>
    <w:rsid w:val="00077F0B"/>
    <w:rsid w:val="002037F8"/>
    <w:rsid w:val="00266A07"/>
    <w:rsid w:val="00291BEC"/>
    <w:rsid w:val="002F6B70"/>
    <w:rsid w:val="00323704"/>
    <w:rsid w:val="00387D30"/>
    <w:rsid w:val="003A6C92"/>
    <w:rsid w:val="00417905"/>
    <w:rsid w:val="00417B57"/>
    <w:rsid w:val="005F6796"/>
    <w:rsid w:val="00636BD5"/>
    <w:rsid w:val="00665D34"/>
    <w:rsid w:val="00671B72"/>
    <w:rsid w:val="006A38AA"/>
    <w:rsid w:val="007B7D0D"/>
    <w:rsid w:val="007E5ECA"/>
    <w:rsid w:val="008B0187"/>
    <w:rsid w:val="00961547"/>
    <w:rsid w:val="009B3714"/>
    <w:rsid w:val="00AA3808"/>
    <w:rsid w:val="00AB66E2"/>
    <w:rsid w:val="00B31B8C"/>
    <w:rsid w:val="00BC5D85"/>
    <w:rsid w:val="00BD5B25"/>
    <w:rsid w:val="00C04A9F"/>
    <w:rsid w:val="00C25244"/>
    <w:rsid w:val="00CB031E"/>
    <w:rsid w:val="00DA0FA3"/>
    <w:rsid w:val="00DD0190"/>
    <w:rsid w:val="00E63B73"/>
    <w:rsid w:val="00EB7C4A"/>
    <w:rsid w:val="00E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714"/>
    <w:pPr>
      <w:keepNext/>
      <w:tabs>
        <w:tab w:val="left" w:pos="0"/>
      </w:tabs>
      <w:ind w:right="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9B37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9B3714"/>
    <w:rPr>
      <w:color w:val="0000FF"/>
      <w:u w:val="single"/>
    </w:rPr>
  </w:style>
  <w:style w:type="character" w:styleId="a4">
    <w:name w:val="Strong"/>
    <w:basedOn w:val="a0"/>
    <w:uiPriority w:val="99"/>
    <w:qFormat/>
    <w:rsid w:val="009B3714"/>
    <w:rPr>
      <w:b/>
      <w:bCs/>
    </w:rPr>
  </w:style>
  <w:style w:type="paragraph" w:styleId="a5">
    <w:name w:val="footer"/>
    <w:basedOn w:val="a"/>
    <w:link w:val="a6"/>
    <w:uiPriority w:val="99"/>
    <w:rsid w:val="009B37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7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B3714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b-serp-urlitem1">
    <w:name w:val="b-serp-url__item1"/>
    <w:uiPriority w:val="99"/>
    <w:rsid w:val="009B3714"/>
  </w:style>
  <w:style w:type="character" w:customStyle="1" w:styleId="apple-converted-space">
    <w:name w:val="apple-converted-space"/>
    <w:basedOn w:val="a0"/>
    <w:uiPriority w:val="99"/>
    <w:rsid w:val="009B3714"/>
  </w:style>
  <w:style w:type="character" w:customStyle="1" w:styleId="apple-style-span">
    <w:name w:val="apple-style-span"/>
    <w:basedOn w:val="a0"/>
    <w:uiPriority w:val="99"/>
    <w:rsid w:val="009B3714"/>
  </w:style>
  <w:style w:type="paragraph" w:styleId="a7">
    <w:name w:val="List Paragraph"/>
    <w:basedOn w:val="a"/>
    <w:uiPriority w:val="99"/>
    <w:qFormat/>
    <w:rsid w:val="009B3714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Heading3">
    <w:name w:val="Heading #3"/>
    <w:basedOn w:val="a0"/>
    <w:uiPriority w:val="99"/>
    <w:rsid w:val="009B3714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6216</Characters>
  <Application>Microsoft Office Word</Application>
  <DocSecurity>0</DocSecurity>
  <Lines>51</Lines>
  <Paragraphs>14</Paragraphs>
  <ScaleCrop>false</ScaleCrop>
  <Company>A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ФЕДЕРАЛЬНОЕ ГОСУДАРСТВЕННОЕ ОБРАЗОВАТЕЛЬНОЕ БЮДЖЕТНОЕ УЧРЕЖДЕНИЕ ВЫСШЕГО ОБРАЗОВАНИЯ</dc:title>
  <dc:subject/>
  <dc:creator>Студент</dc:creator>
  <cp:keywords/>
  <dc:description/>
  <cp:lastModifiedBy>Наталья</cp:lastModifiedBy>
  <cp:revision>4</cp:revision>
  <dcterms:created xsi:type="dcterms:W3CDTF">2017-01-09T08:41:00Z</dcterms:created>
  <dcterms:modified xsi:type="dcterms:W3CDTF">2017-01-10T13:01:00Z</dcterms:modified>
</cp:coreProperties>
</file>